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9" w:rsidRDefault="00192829" w:rsidP="00192829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ESTUDOS TÉCNICOS PRELIMINARES</w:t>
      </w:r>
      <w:r w:rsidRPr="00F70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F704F9">
        <w:rPr>
          <w:rFonts w:ascii="Arial" w:hAnsi="Arial" w:cs="Arial"/>
          <w:b/>
        </w:rPr>
        <w:t xml:space="preserve"> ETP</w:t>
      </w:r>
    </w:p>
    <w:p w:rsidR="00192829" w:rsidRPr="00F704F9" w:rsidRDefault="00192829" w:rsidP="00192829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  <w:b/>
        </w:rPr>
      </w:pPr>
    </w:p>
    <w:p w:rsidR="00192829" w:rsidRPr="00F704F9" w:rsidRDefault="00192829" w:rsidP="0019282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</w:p>
    <w:p w:rsidR="00192829" w:rsidRPr="00F704F9" w:rsidRDefault="00192829" w:rsidP="00192829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F704F9">
        <w:rPr>
          <w:rFonts w:ascii="Arial" w:hAnsi="Arial" w:cs="Arial"/>
          <w:b/>
        </w:rPr>
        <w:t>1. DA UNIDADE REQUISITANTE:</w:t>
      </w:r>
      <w:r w:rsidRPr="00F704F9">
        <w:rPr>
          <w:rFonts w:ascii="Arial" w:hAnsi="Arial" w:cs="Arial"/>
        </w:rPr>
        <w:t xml:space="preserve"> Secretaria Municipal de Educação e Cultura. </w:t>
      </w:r>
    </w:p>
    <w:p w:rsidR="00192829" w:rsidRPr="00F704F9" w:rsidRDefault="00192829" w:rsidP="00192829">
      <w:pPr>
        <w:overflowPunct w:val="0"/>
        <w:autoSpaceDE w:val="0"/>
        <w:autoSpaceDN w:val="0"/>
        <w:adjustRightInd w:val="0"/>
        <w:ind w:left="567" w:firstLine="708"/>
        <w:jc w:val="both"/>
        <w:textAlignment w:val="baseline"/>
        <w:rPr>
          <w:rFonts w:ascii="Arial" w:hAnsi="Arial" w:cs="Arial"/>
        </w:rPr>
      </w:pPr>
    </w:p>
    <w:p w:rsidR="00192829" w:rsidRPr="00F704F9" w:rsidRDefault="00192829" w:rsidP="0019282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</w:rPr>
      </w:pPr>
      <w:r w:rsidRPr="00F704F9">
        <w:rPr>
          <w:rFonts w:ascii="Arial" w:hAnsi="Arial" w:cs="Arial"/>
          <w:b/>
        </w:rPr>
        <w:t xml:space="preserve">2. DA NECESSIDADE E DA JUSTIFICATIVA DA CONTRATAÇÃO:           </w:t>
      </w:r>
    </w:p>
    <w:p w:rsidR="00192829" w:rsidRDefault="00192829" w:rsidP="00192829">
      <w:pPr>
        <w:spacing w:line="276" w:lineRule="auto"/>
        <w:ind w:left="567" w:firstLine="425"/>
        <w:jc w:val="both"/>
      </w:pPr>
      <w:r w:rsidRPr="001B760E">
        <w:rPr>
          <w:rFonts w:ascii="Arial" w:hAnsi="Arial" w:cs="Arial"/>
        </w:rPr>
        <w:t xml:space="preserve">Com objetivo de ampliar o regime de colaboração entre Estado e Municípios na organização do Sistema Público de Ensino, a Secretaria de Estado de Educação está desenvolvendo ações de apoio aos municípios por meio do Programa de Fortalecimento das escolas municipais. A partir do Programa a Secretaria de Estado de Educação de Minas Gerais repassará aos Municípios, através da celebração de convênio, recursos financeiros para a aquisição de veículos de transporte escolar, objetivando atender os alunos das escolas da rede pública de ensino nos municípios mineiros. A aquisição de veículos de transporte escolar busca contemplar importante demanda dos municípios frente a complexidade e desafios impostos para a oferta de um transporte de qualidade. Certos da importância do transporte escolar como instrumento fundamental para garantir o acesso de alunos da rede pública às unidades escolares, o programa proposto também deseja identificar e atender a demanda essencial por veículos escolares, de acordo com </w:t>
      </w:r>
      <w:proofErr w:type="gramStart"/>
      <w:r w:rsidRPr="001B760E">
        <w:rPr>
          <w:rFonts w:ascii="Arial" w:hAnsi="Arial" w:cs="Arial"/>
        </w:rPr>
        <w:t>especificidades</w:t>
      </w:r>
      <w:proofErr w:type="gramEnd"/>
      <w:r w:rsidRPr="001B760E">
        <w:rPr>
          <w:rFonts w:ascii="Arial" w:hAnsi="Arial" w:cs="Arial"/>
        </w:rPr>
        <w:t xml:space="preserve"> e necessidades de cada município</w:t>
      </w:r>
      <w:r w:rsidRPr="00F31E9B">
        <w:t xml:space="preserve">. </w:t>
      </w:r>
    </w:p>
    <w:p w:rsidR="00192829" w:rsidRPr="00F704F9" w:rsidRDefault="00192829" w:rsidP="001928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192829" w:rsidRDefault="00192829" w:rsidP="00192829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704F9">
        <w:rPr>
          <w:rFonts w:ascii="Arial" w:hAnsi="Arial" w:cs="Arial"/>
          <w:b/>
          <w:bCs/>
          <w:color w:val="000000"/>
        </w:rPr>
        <w:t>3. DESCRIÇÃO DOS REQUISITOS DA POTENCIAL CONTRATAÇÃO:</w:t>
      </w:r>
    </w:p>
    <w:p w:rsidR="00192829" w:rsidRPr="00F704F9" w:rsidRDefault="00192829" w:rsidP="00192829">
      <w:pPr>
        <w:shd w:val="clear" w:color="auto" w:fill="FFFFFF"/>
        <w:spacing w:line="276" w:lineRule="auto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veículos deverão ser entregues na forma estabelecida no Termo de Referência do Edital, nas quantidades, qualidades e padrões cotados, no prazo de até 30 (trinta) dias, contados da assinatura do Contrato.</w:t>
      </w:r>
    </w:p>
    <w:p w:rsidR="00192829" w:rsidRDefault="00192829" w:rsidP="0019282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F704F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Fica assegurado a CONTRATANTE o direito de rejeitar</w:t>
      </w:r>
      <w:r w:rsidRPr="00F704F9">
        <w:rPr>
          <w:rFonts w:ascii="Arial" w:hAnsi="Arial" w:cs="Arial"/>
        </w:rPr>
        <w:t>, no todo ou em parte,</w:t>
      </w:r>
      <w:r>
        <w:rPr>
          <w:rFonts w:ascii="Arial" w:hAnsi="Arial" w:cs="Arial"/>
        </w:rPr>
        <w:t xml:space="preserve"> os veículos entregues</w:t>
      </w:r>
      <w:r w:rsidRPr="00F704F9">
        <w:rPr>
          <w:rFonts w:ascii="Arial" w:hAnsi="Arial" w:cs="Arial"/>
        </w:rPr>
        <w:t xml:space="preserve"> em desacordo com as especificações </w:t>
      </w:r>
      <w:r>
        <w:rPr>
          <w:rFonts w:ascii="Arial" w:hAnsi="Arial" w:cs="Arial"/>
        </w:rPr>
        <w:t>exigidas no Edital e seus anexos, ficando a empresa licitante vencedora obrigada a substituir e/ou reparar os itens irregulares no prazo de 30 (trinta) dias.</w:t>
      </w:r>
    </w:p>
    <w:p w:rsidR="00192829" w:rsidRDefault="00192829" w:rsidP="00192829">
      <w:pPr>
        <w:shd w:val="clear" w:color="auto" w:fill="FFFFFF"/>
        <w:spacing w:line="276" w:lineRule="auto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conformidade com os artigos 73 e 75 da Lei 8.666/93, objeto do presente Contrato será recebido pelo setor competente da CONTATANTE, no seguinte local: </w:t>
      </w:r>
      <w:r>
        <w:rPr>
          <w:rFonts w:ascii="Arial" w:hAnsi="Arial" w:cs="Arial"/>
          <w:spacing w:val="1"/>
          <w:lang w:eastAsia="ar-SA"/>
        </w:rPr>
        <w:t>Prefeitura Municipal de Minduri, localizada na Rua Penha, 99, Vila Vassalo, Minduri</w:t>
      </w:r>
      <w:r w:rsidRPr="00EA317D">
        <w:rPr>
          <w:rFonts w:ascii="Arial" w:hAnsi="Arial" w:cs="Arial"/>
          <w:shd w:val="clear" w:color="auto" w:fill="FFFFFF"/>
          <w:lang w:eastAsia="ar-SA"/>
        </w:rPr>
        <w:t xml:space="preserve"> - MG, 37447-000</w:t>
      </w:r>
      <w:r>
        <w:rPr>
          <w:rFonts w:ascii="Arial" w:hAnsi="Arial" w:cs="Arial"/>
          <w:shd w:val="clear" w:color="auto" w:fill="FFFFFF"/>
          <w:lang w:eastAsia="ar-SA"/>
        </w:rPr>
        <w:t xml:space="preserve">, </w:t>
      </w:r>
      <w:r w:rsidRPr="00F704F9">
        <w:rPr>
          <w:rFonts w:ascii="Arial" w:hAnsi="Arial" w:cs="Arial"/>
        </w:rPr>
        <w:t xml:space="preserve">em horário de </w:t>
      </w:r>
      <w:r>
        <w:rPr>
          <w:rFonts w:ascii="Arial" w:hAnsi="Arial" w:cs="Arial"/>
        </w:rPr>
        <w:t>expediente (</w:t>
      </w:r>
      <w:r w:rsidRPr="00F704F9">
        <w:rPr>
          <w:rFonts w:ascii="Arial" w:hAnsi="Arial" w:cs="Arial"/>
        </w:rPr>
        <w:t xml:space="preserve">das 8h às 11h e das 13h às 16h), assim tendo 6h pra entrega ao setor solicitante, telefones da Secretaria de Educação para contato (35) 3326-1244 ou 9 9992-7680, ou telefone da </w:t>
      </w:r>
      <w:r>
        <w:rPr>
          <w:rFonts w:ascii="Arial" w:hAnsi="Arial" w:cs="Arial"/>
        </w:rPr>
        <w:t>Prefeitura</w:t>
      </w:r>
      <w:r w:rsidRPr="00F704F9">
        <w:rPr>
          <w:rFonts w:ascii="Arial" w:hAnsi="Arial" w:cs="Arial"/>
        </w:rPr>
        <w:t xml:space="preserve"> (35) 3326-1</w:t>
      </w:r>
      <w:r>
        <w:rPr>
          <w:rFonts w:ascii="Arial" w:hAnsi="Arial" w:cs="Arial"/>
        </w:rPr>
        <w:t>219</w:t>
      </w:r>
      <w:r w:rsidRPr="00F704F9">
        <w:rPr>
          <w:rFonts w:ascii="Arial" w:hAnsi="Arial" w:cs="Arial"/>
        </w:rPr>
        <w:t>.</w:t>
      </w:r>
    </w:p>
    <w:p w:rsidR="00192829" w:rsidRPr="00C65600" w:rsidRDefault="00192829" w:rsidP="00192829">
      <w:pPr>
        <w:shd w:val="clear" w:color="auto" w:fill="FFFFFF"/>
        <w:spacing w:line="276" w:lineRule="auto"/>
        <w:ind w:left="567" w:firstLine="709"/>
        <w:jc w:val="both"/>
        <w:rPr>
          <w:rFonts w:ascii="Arial" w:hAnsi="Arial" w:cs="Arial"/>
        </w:rPr>
      </w:pPr>
      <w:r w:rsidRPr="00C65600">
        <w:rPr>
          <w:rFonts w:ascii="Arial" w:hAnsi="Arial" w:cs="Arial"/>
        </w:rPr>
        <w:t>A CONTRATADA deverá atender aos critérios de sustentabilidade estabelecidos pelo</w:t>
      </w:r>
      <w:r>
        <w:rPr>
          <w:rFonts w:ascii="Arial" w:hAnsi="Arial" w:cs="Arial"/>
        </w:rPr>
        <w:t xml:space="preserve"> artigo 3º da Lei 8.666/93, pela Lei nº 12.305/10, nos assuntos pertinentes a presente contratação.</w:t>
      </w:r>
    </w:p>
    <w:p w:rsidR="00192829" w:rsidRDefault="00192829" w:rsidP="00192829">
      <w:pPr>
        <w:shd w:val="clear" w:color="auto" w:fill="FFFFFF"/>
        <w:spacing w:line="276" w:lineRule="auto"/>
        <w:ind w:left="567" w:firstLine="709"/>
        <w:jc w:val="both"/>
      </w:pPr>
      <w:r w:rsidRPr="00C65600">
        <w:rPr>
          <w:rFonts w:ascii="Arial" w:hAnsi="Arial" w:cs="Arial"/>
        </w:rPr>
        <w:t>Assim, além dos requisitos da contratação dispostos nesse estudo preliminar, se enquadrarão</w:t>
      </w:r>
      <w:r>
        <w:rPr>
          <w:rFonts w:ascii="Arial" w:hAnsi="Arial" w:cs="Arial"/>
        </w:rPr>
        <w:t xml:space="preserve"> </w:t>
      </w:r>
      <w:r w:rsidRPr="00C65600">
        <w:rPr>
          <w:rFonts w:ascii="Arial" w:hAnsi="Arial" w:cs="Arial"/>
        </w:rPr>
        <w:t>também as obrigações da previstas no Termo de Referência</w:t>
      </w:r>
      <w:r>
        <w:t>.</w:t>
      </w:r>
    </w:p>
    <w:p w:rsidR="00192829" w:rsidRDefault="00192829" w:rsidP="00192829">
      <w:pPr>
        <w:shd w:val="clear" w:color="auto" w:fill="FFFFFF"/>
        <w:spacing w:line="276" w:lineRule="auto"/>
        <w:ind w:left="567" w:firstLine="709"/>
        <w:jc w:val="both"/>
      </w:pPr>
    </w:p>
    <w:p w:rsidR="00192829" w:rsidRPr="00F704F9" w:rsidRDefault="00192829" w:rsidP="00192829">
      <w:pPr>
        <w:shd w:val="clear" w:color="auto" w:fill="FFFFFF"/>
        <w:spacing w:line="276" w:lineRule="auto"/>
        <w:ind w:left="567" w:firstLine="709"/>
        <w:jc w:val="both"/>
        <w:rPr>
          <w:rFonts w:ascii="Arial" w:hAnsi="Arial" w:cs="Arial"/>
        </w:rPr>
      </w:pPr>
    </w:p>
    <w:p w:rsidR="00192829" w:rsidRDefault="00192829" w:rsidP="0019282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F704F9">
        <w:rPr>
          <w:rFonts w:ascii="Arial" w:hAnsi="Arial" w:cs="Arial"/>
        </w:rPr>
        <w:t xml:space="preserve"> </w:t>
      </w:r>
    </w:p>
    <w:p w:rsidR="00192829" w:rsidRPr="00F704F9" w:rsidRDefault="00192829" w:rsidP="00192829">
      <w:pPr>
        <w:autoSpaceDE w:val="0"/>
        <w:autoSpaceDN w:val="0"/>
        <w:adjustRightInd w:val="0"/>
        <w:ind w:left="567"/>
        <w:rPr>
          <w:rFonts w:ascii="Arial" w:eastAsia="Calibri" w:hAnsi="Arial" w:cs="Arial"/>
          <w:b/>
          <w:bCs/>
          <w:color w:val="000000"/>
          <w:lang w:eastAsia="en-US"/>
        </w:rPr>
      </w:pPr>
      <w:r w:rsidRPr="00F704F9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4. ESTIMATIVA DAS QUANTIDADES, ACOMPANHADAS DAS MEMÓRIAS DE CÁLCULO E DOS DOCUMENTOS QUE LHE DÃO SUPORTE.</w:t>
      </w:r>
    </w:p>
    <w:p w:rsidR="00192829" w:rsidRPr="00F704F9" w:rsidRDefault="00192829" w:rsidP="00192829">
      <w:pPr>
        <w:autoSpaceDE w:val="0"/>
        <w:autoSpaceDN w:val="0"/>
        <w:adjustRightInd w:val="0"/>
        <w:ind w:left="567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92829" w:rsidRDefault="00192829" w:rsidP="00192829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color w:val="0D0D0D"/>
          <w:lang w:eastAsia="en-US"/>
        </w:rPr>
      </w:pPr>
      <w:r w:rsidRPr="00F704F9">
        <w:rPr>
          <w:rFonts w:ascii="Arial" w:eastAsia="Calibri" w:hAnsi="Arial" w:cs="Arial"/>
          <w:color w:val="0D0D0D"/>
          <w:lang w:eastAsia="en-US"/>
        </w:rPr>
        <w:t>4.1 A descrição, bem como o respectivo quantitativo a ser registrado está descrito conforme tabela abaixo.</w:t>
      </w:r>
    </w:p>
    <w:p w:rsidR="00192829" w:rsidRPr="00F704F9" w:rsidRDefault="00192829" w:rsidP="00192829">
      <w:pPr>
        <w:autoSpaceDE w:val="0"/>
        <w:autoSpaceDN w:val="0"/>
        <w:adjustRightInd w:val="0"/>
        <w:ind w:left="567"/>
        <w:rPr>
          <w:rFonts w:ascii="Arial" w:eastAsia="Calibri" w:hAnsi="Arial" w:cs="Arial"/>
          <w:color w:val="0D0D0D"/>
          <w:lang w:eastAsia="en-US"/>
        </w:rPr>
      </w:pPr>
    </w:p>
    <w:p w:rsidR="00192829" w:rsidRPr="003241A2" w:rsidRDefault="00192829" w:rsidP="00192829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3241A2">
        <w:rPr>
          <w:rFonts w:ascii="Arial" w:hAnsi="Arial" w:cs="Arial"/>
          <w:b/>
          <w:u w:val="single"/>
        </w:rPr>
        <w:t>REGISTRO DE PREÇOS</w:t>
      </w:r>
      <w:r w:rsidRPr="003241A2">
        <w:rPr>
          <w:rFonts w:ascii="Arial" w:hAnsi="Arial" w:cs="Arial"/>
          <w:b/>
          <w:color w:val="000000"/>
          <w:u w:val="single"/>
        </w:rPr>
        <w:t xml:space="preserve"> PARA AQUISIÇÃO DE </w:t>
      </w:r>
      <w:r>
        <w:rPr>
          <w:rFonts w:ascii="Arial" w:hAnsi="Arial" w:cs="Arial"/>
          <w:b/>
          <w:color w:val="000000"/>
          <w:u w:val="single"/>
        </w:rPr>
        <w:t>V</w:t>
      </w:r>
      <w:r w:rsidRPr="003241A2">
        <w:rPr>
          <w:rFonts w:ascii="Arial" w:hAnsi="Arial" w:cs="Arial"/>
          <w:b/>
          <w:color w:val="000000"/>
          <w:u w:val="single"/>
        </w:rPr>
        <w:t xml:space="preserve">EÍCULOS PARA TRANSPORTE </w:t>
      </w:r>
      <w:r w:rsidRPr="003241A2">
        <w:rPr>
          <w:rFonts w:ascii="Arial" w:hAnsi="Arial" w:cs="Arial"/>
          <w:b/>
          <w:u w:val="single"/>
        </w:rPr>
        <w:t>PROGRAMA DE FORTALECIMENTO DAS ESCOLAS</w:t>
      </w:r>
    </w:p>
    <w:p w:rsidR="00192829" w:rsidRPr="003241A2" w:rsidRDefault="00192829" w:rsidP="0019282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D0D0D"/>
          <w:lang w:eastAsia="en-US"/>
        </w:rPr>
      </w:pPr>
    </w:p>
    <w:tbl>
      <w:tblPr>
        <w:tblW w:w="10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12"/>
        <w:gridCol w:w="1008"/>
        <w:gridCol w:w="837"/>
        <w:gridCol w:w="1557"/>
        <w:gridCol w:w="1684"/>
      </w:tblGrid>
      <w:tr w:rsidR="00192829" w:rsidRPr="00C40524" w:rsidTr="001D6093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829" w:rsidRPr="00C40524" w:rsidRDefault="00192829" w:rsidP="002B4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40524">
              <w:rPr>
                <w:rFonts w:ascii="Arial" w:hAnsi="Arial" w:cs="Arial"/>
                <w:b/>
                <w:bCs/>
                <w:color w:val="000000"/>
                <w:sz w:val="22"/>
              </w:rPr>
              <w:t>Item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829" w:rsidRPr="00C40524" w:rsidRDefault="00192829" w:rsidP="002B4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40524">
              <w:rPr>
                <w:rFonts w:ascii="Arial" w:hAnsi="Arial" w:cs="Arial"/>
                <w:b/>
                <w:bCs/>
                <w:color w:val="000000"/>
                <w:sz w:val="22"/>
              </w:rPr>
              <w:t>Especificação do Objeto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829" w:rsidRPr="00C40524" w:rsidRDefault="00192829" w:rsidP="002B4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40524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Unidade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829" w:rsidRPr="00C40524" w:rsidRDefault="00192829" w:rsidP="002B4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40524">
              <w:rPr>
                <w:rFonts w:ascii="Arial" w:hAnsi="Arial" w:cs="Arial"/>
                <w:b/>
                <w:bCs/>
                <w:color w:val="000000"/>
                <w:sz w:val="22"/>
              </w:rPr>
              <w:t>Quant.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829" w:rsidRPr="00C40524" w:rsidRDefault="00192829" w:rsidP="002B4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40524">
              <w:rPr>
                <w:rFonts w:ascii="Arial" w:hAnsi="Arial" w:cs="Arial"/>
                <w:b/>
                <w:bCs/>
                <w:color w:val="000000"/>
                <w:sz w:val="22"/>
              </w:rPr>
              <w:t>Valor Unitário Estimado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29" w:rsidRPr="00C40524" w:rsidRDefault="00192829" w:rsidP="002B4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40524">
              <w:rPr>
                <w:rFonts w:ascii="Arial" w:hAnsi="Arial" w:cs="Arial"/>
                <w:b/>
                <w:bCs/>
                <w:color w:val="000000"/>
                <w:sz w:val="22"/>
              </w:rPr>
              <w:t>Valor Total Estimado</w:t>
            </w:r>
          </w:p>
        </w:tc>
      </w:tr>
      <w:tr w:rsidR="001D6093" w:rsidRPr="00CD2F20" w:rsidTr="001D6093">
        <w:trPr>
          <w:trHeight w:val="2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93" w:rsidRPr="00CD2F20" w:rsidRDefault="001D6093" w:rsidP="001D60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F2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093" w:rsidRPr="001D6093" w:rsidRDefault="001D6093" w:rsidP="001D60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1D6093">
              <w:rPr>
                <w:rFonts w:ascii="Arial" w:hAnsi="Arial" w:cs="Arial"/>
                <w:sz w:val="20"/>
              </w:rPr>
              <w:t xml:space="preserve">Ônibus com comprimento total máximo de 7.000 mm, capacidade de carga útil líquida de no mínimo 1.500kg, com capacidade mínima de 29 (cinte e nove) estudantes sentados, mais o condutor, e deve ser equipado com dispositivo para transposição de fronteira, do tipo poltrona móvel (DPM), para embarque e desembarque de estudante com deficiência, ou com mobilidade reduzida, que permita realizar o deslocamento de uma, ou mais poltronas, do salão de passageiros, do exterior do veículo, ao nível do piso interno. </w:t>
            </w:r>
          </w:p>
          <w:p w:rsidR="001D6093" w:rsidRPr="001D6093" w:rsidRDefault="001D6093" w:rsidP="001D6093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Obs.: </w:t>
            </w:r>
            <w:r w:rsidRPr="001D6093">
              <w:rPr>
                <w:rFonts w:ascii="Arial" w:eastAsia="Calibri" w:hAnsi="Arial" w:cs="Arial"/>
                <w:sz w:val="20"/>
                <w:lang w:eastAsia="en-US"/>
              </w:rPr>
              <w:t>O veículo cotado na proposta de preços deverá conter todos os itens de série, tendo como base o configurador do site da marca.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93" w:rsidRPr="001D6093" w:rsidRDefault="001D6093" w:rsidP="001D60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hAnsi="Arial" w:cs="Arial"/>
                <w:color w:val="000000"/>
                <w:sz w:val="20"/>
              </w:rPr>
              <w:t>UN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93" w:rsidRPr="001D6093" w:rsidRDefault="001D6093" w:rsidP="001D60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93" w:rsidRPr="001D6093" w:rsidRDefault="009D1D04" w:rsidP="001D609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R$591.250,00</w:t>
            </w:r>
            <w:r w:rsidR="001D6093" w:rsidRPr="001D6093">
              <w:rPr>
                <w:rFonts w:ascii="Arial" w:hAnsi="Arial" w:cs="Arial"/>
                <w:bCs/>
                <w:color w:val="000000"/>
                <w:sz w:val="20"/>
              </w:rPr>
              <w:t xml:space="preserve">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93" w:rsidRPr="001D6093" w:rsidRDefault="009D1D04" w:rsidP="001D609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R$591.250,00</w:t>
            </w:r>
            <w:r w:rsidR="001D6093" w:rsidRPr="001D6093">
              <w:rPr>
                <w:rFonts w:ascii="Arial" w:hAnsi="Arial" w:cs="Arial"/>
                <w:bCs/>
                <w:color w:val="000000"/>
                <w:sz w:val="20"/>
              </w:rPr>
              <w:t xml:space="preserve">                </w:t>
            </w:r>
          </w:p>
        </w:tc>
      </w:tr>
      <w:tr w:rsidR="001D6093" w:rsidRPr="00CD2F20" w:rsidTr="001D6093">
        <w:trPr>
          <w:trHeight w:val="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CD2F20" w:rsidRDefault="001D6093" w:rsidP="001D60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F2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093" w:rsidRPr="001D6093" w:rsidRDefault="001D6093" w:rsidP="001D60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1D6093">
              <w:rPr>
                <w:rFonts w:ascii="Arial" w:hAnsi="Arial" w:cs="Arial"/>
                <w:sz w:val="20"/>
              </w:rPr>
              <w:t>Ônibus com comprimento total máxima de 9.000 mm, capacidade de carga útil líquida de no mínimo 3.000kg, com capacidade mínima de 44 (quarenta e quatro) estudantes sentados, mais o condutor, e deve ser equipado com dispositivo para transformação de fronteira, do tipo poltrona móvel (DPM), para embarque e desembarque de estudante com deficiência, ou com mobilidade reduzida, que permita realizar o deslocamento de uma, ou mais poltronas, do salão de passageiros, do exterior do veículo, ao nível do piso interno</w:t>
            </w:r>
          </w:p>
          <w:p w:rsidR="001D6093" w:rsidRPr="001D6093" w:rsidRDefault="001D6093" w:rsidP="001D60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1D609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Obs.: </w:t>
            </w:r>
            <w:r w:rsidRPr="001D6093">
              <w:rPr>
                <w:rFonts w:ascii="Arial" w:eastAsia="Calibri" w:hAnsi="Arial" w:cs="Arial"/>
                <w:sz w:val="20"/>
                <w:lang w:eastAsia="en-US"/>
              </w:rPr>
              <w:t>O veículo cotado na proposta de preços, deverá conter todos os itens de série, tendo como base o configurador do site da marca.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1D6093" w:rsidP="001D60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hAnsi="Arial" w:cs="Arial"/>
                <w:color w:val="000000"/>
                <w:sz w:val="20"/>
              </w:rPr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1D6093" w:rsidP="001D60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9D1D04" w:rsidP="001D609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R$ 585.000,00</w:t>
            </w:r>
            <w:r w:rsidR="001D6093" w:rsidRPr="001D6093">
              <w:rPr>
                <w:rFonts w:ascii="Arial" w:hAnsi="Arial" w:cs="Arial"/>
                <w:bCs/>
                <w:color w:val="000000"/>
                <w:sz w:val="20"/>
              </w:rPr>
              <w:t xml:space="preserve"> 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9D1D04" w:rsidP="001D609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R$ 585.000,00</w:t>
            </w:r>
            <w:r w:rsidR="001D6093" w:rsidRPr="001D6093">
              <w:rPr>
                <w:rFonts w:ascii="Arial" w:hAnsi="Arial" w:cs="Arial"/>
                <w:bCs/>
                <w:color w:val="000000"/>
                <w:sz w:val="20"/>
              </w:rPr>
              <w:t xml:space="preserve">               </w:t>
            </w:r>
          </w:p>
        </w:tc>
      </w:tr>
      <w:tr w:rsidR="001D6093" w:rsidRPr="00CD2F20" w:rsidTr="001D6093">
        <w:trPr>
          <w:trHeight w:val="4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CD2F20" w:rsidRDefault="001D6093" w:rsidP="001D60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F2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093" w:rsidRPr="001D6093" w:rsidRDefault="001D6093" w:rsidP="001D60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D6093">
              <w:rPr>
                <w:rFonts w:ascii="Arial" w:hAnsi="Arial" w:cs="Arial"/>
                <w:sz w:val="20"/>
              </w:rPr>
              <w:t>Veículo para transporte de passageiros, tipo van, 15 lugares + 1motorista, teto baixo, bancos fixos, tração traseira, cor branco, câmbio 6 marchas e frente + ré, equipado com tacógrafo, 0km, ano 2023.</w:t>
            </w:r>
          </w:p>
          <w:p w:rsidR="001D6093" w:rsidRPr="001D6093" w:rsidRDefault="001D6093" w:rsidP="001D60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D609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Obs.: </w:t>
            </w:r>
            <w:r w:rsidRPr="001D6093">
              <w:rPr>
                <w:rFonts w:ascii="Arial" w:eastAsia="Calibri" w:hAnsi="Arial" w:cs="Arial"/>
                <w:sz w:val="20"/>
                <w:lang w:eastAsia="en-US"/>
              </w:rPr>
              <w:t>O veículo cotado na proposta de preços deverá conter todos os itens de série, tendo como base o configurador do site da marca.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1D6093" w:rsidP="001D60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hAnsi="Arial" w:cs="Arial"/>
                <w:color w:val="000000"/>
                <w:sz w:val="20"/>
              </w:rPr>
              <w:t>UN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1D6093" w:rsidP="001D60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D6093"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9D1D04" w:rsidP="001D609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R$ 333.600,00</w:t>
            </w:r>
            <w:r w:rsidR="001D6093" w:rsidRPr="001D6093">
              <w:rPr>
                <w:rFonts w:ascii="Arial" w:hAnsi="Arial" w:cs="Arial"/>
                <w:bCs/>
                <w:color w:val="000000"/>
                <w:sz w:val="20"/>
              </w:rPr>
              <w:t xml:space="preserve">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3" w:rsidRPr="001D6093" w:rsidRDefault="009D1D04" w:rsidP="001D609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R$ 333.600,00</w:t>
            </w:r>
            <w:r w:rsidR="001D6093" w:rsidRPr="001D6093">
              <w:rPr>
                <w:rFonts w:ascii="Arial" w:hAnsi="Arial" w:cs="Arial"/>
                <w:bCs/>
                <w:color w:val="000000"/>
                <w:sz w:val="20"/>
              </w:rPr>
              <w:t xml:space="preserve">              </w:t>
            </w:r>
          </w:p>
        </w:tc>
      </w:tr>
    </w:tbl>
    <w:p w:rsidR="00192829" w:rsidRPr="00CD2F20" w:rsidRDefault="00192829" w:rsidP="0019282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NewRoman" w:eastAsia="Calibri" w:hAnsi="TimesNewRoman" w:cs="TimesNewRoman"/>
          <w:color w:val="000000"/>
          <w:lang w:eastAsia="en-US"/>
        </w:rPr>
      </w:pPr>
    </w:p>
    <w:p w:rsidR="001D6093" w:rsidRDefault="001D6093" w:rsidP="00192829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D6093" w:rsidRDefault="001D6093" w:rsidP="00192829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D6093" w:rsidRDefault="001D6093" w:rsidP="00192829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D6093" w:rsidRDefault="001D6093" w:rsidP="00192829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92829" w:rsidRPr="00C40524" w:rsidRDefault="00192829" w:rsidP="00192829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C40524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 xml:space="preserve">5. </w:t>
      </w:r>
      <w:r w:rsidRPr="00C40524">
        <w:rPr>
          <w:rFonts w:ascii="Arial" w:hAnsi="Arial" w:cs="Arial"/>
          <w:b/>
        </w:rPr>
        <w:t>DAS SOLUÇÕES DISPONÍVEIS NO MERCADO E JUSTIFICATIVA DA SOLUÇÃO ESCOLHIDA</w:t>
      </w:r>
    </w:p>
    <w:p w:rsidR="00192829" w:rsidRPr="008A3C20" w:rsidRDefault="00192829" w:rsidP="00192829">
      <w:pPr>
        <w:autoSpaceDE w:val="0"/>
        <w:autoSpaceDN w:val="0"/>
        <w:adjustRightInd w:val="0"/>
        <w:ind w:left="567"/>
        <w:jc w:val="both"/>
        <w:rPr>
          <w:rFonts w:ascii="TimesNewRoman,Bold" w:eastAsia="Calibri" w:hAnsi="TimesNewRoman,Bold" w:cs="TimesNewRoman,Bold"/>
          <w:b/>
          <w:bCs/>
          <w:color w:val="000000"/>
          <w:lang w:eastAsia="en-US"/>
        </w:rPr>
      </w:pPr>
    </w:p>
    <w:p w:rsidR="00192829" w:rsidRPr="00C40524" w:rsidRDefault="00192829" w:rsidP="0019282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Calibri" w:hAnsi="Arial" w:cs="Arial"/>
          <w:color w:val="000000"/>
          <w:lang w:eastAsia="en-US"/>
        </w:rPr>
      </w:pPr>
      <w:r w:rsidRPr="008A3C20">
        <w:rPr>
          <w:rFonts w:ascii="Arial" w:eastAsia="Calibri" w:hAnsi="Arial" w:cs="Arial"/>
          <w:color w:val="000000"/>
          <w:lang w:eastAsia="en-US"/>
        </w:rPr>
        <w:t xml:space="preserve">         </w:t>
      </w:r>
    </w:p>
    <w:p w:rsidR="001D6093" w:rsidRDefault="00192829" w:rsidP="0019282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4512E">
        <w:rPr>
          <w:rFonts w:ascii="Arial" w:hAnsi="Arial" w:cs="Arial"/>
        </w:rPr>
        <w:t>oi feito levantamento para identificar as soluções existentes no mercado</w:t>
      </w:r>
      <w:r>
        <w:rPr>
          <w:rFonts w:ascii="Arial" w:hAnsi="Arial" w:cs="Arial"/>
        </w:rPr>
        <w:t xml:space="preserve"> que atendam as condições estabelec</w:t>
      </w:r>
      <w:r w:rsidRPr="0024512E">
        <w:rPr>
          <w:rFonts w:ascii="Arial" w:hAnsi="Arial" w:cs="Arial"/>
        </w:rPr>
        <w:t>idas, de modo a alcançar os res</w:t>
      </w:r>
      <w:r>
        <w:rPr>
          <w:rFonts w:ascii="Arial" w:hAnsi="Arial" w:cs="Arial"/>
        </w:rPr>
        <w:t xml:space="preserve">ultados pretendidos e atender à </w:t>
      </w:r>
      <w:r w:rsidRPr="0024512E">
        <w:rPr>
          <w:rFonts w:ascii="Arial" w:hAnsi="Arial" w:cs="Arial"/>
        </w:rPr>
        <w:t>necessidade</w:t>
      </w:r>
      <w:r>
        <w:rPr>
          <w:rFonts w:ascii="Arial" w:hAnsi="Arial" w:cs="Arial"/>
        </w:rPr>
        <w:t xml:space="preserve"> da contratação, com a possibilidade de apuração de prelos estimados, levando-se em conta aspectos de economicidade, eficácia,</w:t>
      </w:r>
      <w:r w:rsidRPr="0024512E">
        <w:rPr>
          <w:rFonts w:ascii="Arial" w:hAnsi="Arial" w:cs="Arial"/>
        </w:rPr>
        <w:t xml:space="preserve"> eficiência e padronização, tendo sido identificado que o mercado tem a amplitude necessária para que a</w:t>
      </w:r>
      <w:r w:rsidRPr="0024512E">
        <w:rPr>
          <w:rFonts w:ascii="Arial" w:hAnsi="Arial" w:cs="Arial"/>
        </w:rPr>
        <w:br/>
        <w:t xml:space="preserve">contratação </w:t>
      </w:r>
      <w:r>
        <w:rPr>
          <w:rFonts w:ascii="Arial" w:hAnsi="Arial" w:cs="Arial"/>
        </w:rPr>
        <w:t>seja plenamente realiza</w:t>
      </w:r>
      <w:r w:rsidR="009D1D04">
        <w:rPr>
          <w:rFonts w:ascii="Arial" w:hAnsi="Arial" w:cs="Arial"/>
        </w:rPr>
        <w:t>da, mediante pregão eletrônico.</w:t>
      </w:r>
    </w:p>
    <w:p w:rsidR="009D1D04" w:rsidRDefault="009D1D04" w:rsidP="00192829">
      <w:pPr>
        <w:ind w:left="567"/>
        <w:jc w:val="both"/>
        <w:rPr>
          <w:rFonts w:ascii="Arial" w:hAnsi="Arial" w:cs="Arial"/>
        </w:rPr>
      </w:pPr>
    </w:p>
    <w:p w:rsidR="009D1D04" w:rsidRDefault="009D1D04" w:rsidP="00192829">
      <w:pPr>
        <w:ind w:left="567"/>
        <w:jc w:val="both"/>
        <w:rPr>
          <w:rFonts w:ascii="Arial" w:hAnsi="Arial" w:cs="Arial"/>
        </w:rPr>
      </w:pP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 w:rsidRPr="00C40524">
        <w:rPr>
          <w:rFonts w:ascii="Arial" w:hAnsi="Arial" w:cs="Arial"/>
          <w:b/>
        </w:rPr>
        <w:t xml:space="preserve">6. DOS CRITÉRIOS DE SUSTENTABILIDADE: </w:t>
      </w:r>
      <w:r>
        <w:rPr>
          <w:rFonts w:ascii="Arial" w:hAnsi="Arial" w:cs="Arial"/>
        </w:rPr>
        <w:t>Serão definidos no Termo de Referência condições que minimizam possíveis impactos ambientais, seguindo as orientações normativas que tratam de sustentabilidade em contratações públicas.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2F7E97">
        <w:rPr>
          <w:rFonts w:ascii="Arial" w:hAnsi="Arial" w:cs="Arial"/>
        </w:rPr>
        <w:br/>
      </w:r>
      <w:r w:rsidRPr="00C40524">
        <w:rPr>
          <w:rFonts w:ascii="Arial" w:hAnsi="Arial" w:cs="Arial"/>
          <w:b/>
        </w:rPr>
        <w:t xml:space="preserve">7. DO ENQUADRAMENTO COMO BENS OU SERVIÇOS COMUNS: </w:t>
      </w:r>
      <w:r w:rsidRPr="00C40524">
        <w:rPr>
          <w:rFonts w:ascii="Arial" w:hAnsi="Arial" w:cs="Arial"/>
        </w:rPr>
        <w:t xml:space="preserve">Trata-se de </w:t>
      </w:r>
      <w:r>
        <w:rPr>
          <w:rFonts w:ascii="Arial" w:hAnsi="Arial" w:cs="Arial"/>
        </w:rPr>
        <w:t>aquisição de bens</w:t>
      </w:r>
      <w:r w:rsidRPr="00C40524">
        <w:rPr>
          <w:rFonts w:ascii="Arial" w:hAnsi="Arial" w:cs="Arial"/>
        </w:rPr>
        <w:t xml:space="preserve"> comu</w:t>
      </w:r>
      <w:r>
        <w:rPr>
          <w:rFonts w:ascii="Arial" w:hAnsi="Arial" w:cs="Arial"/>
        </w:rPr>
        <w:t>ns</w:t>
      </w:r>
      <w:r w:rsidRPr="00C40524">
        <w:rPr>
          <w:rFonts w:ascii="Arial" w:hAnsi="Arial" w:cs="Arial"/>
        </w:rPr>
        <w:t>, cujos padrões de desempenho e qualidade podem ser objetivamente definidos no</w:t>
      </w:r>
      <w:r>
        <w:rPr>
          <w:rFonts w:ascii="Arial" w:hAnsi="Arial" w:cs="Arial"/>
        </w:rPr>
        <w:t xml:space="preserve">s documentos de contratação por meio </w:t>
      </w:r>
      <w:r w:rsidRPr="00C40524">
        <w:rPr>
          <w:rFonts w:ascii="Arial" w:hAnsi="Arial" w:cs="Arial"/>
        </w:rPr>
        <w:t xml:space="preserve">de especificações usuais no mercado, nos termos do parágrafo único do artigo 1º, da Lei </w:t>
      </w:r>
      <w:r>
        <w:rPr>
          <w:rFonts w:ascii="Arial" w:hAnsi="Arial" w:cs="Arial"/>
        </w:rPr>
        <w:t xml:space="preserve">Federal </w:t>
      </w:r>
      <w:r w:rsidRPr="00C40524">
        <w:rPr>
          <w:rFonts w:ascii="Arial" w:hAnsi="Arial" w:cs="Arial"/>
        </w:rPr>
        <w:t xml:space="preserve">nº. 10.520/02, c/c Decreto nº. 10.024/2019. 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C40524">
        <w:rPr>
          <w:rFonts w:ascii="Arial" w:hAnsi="Arial" w:cs="Arial"/>
          <w:b/>
        </w:rPr>
        <w:t>8. DA AVALIAÇÃO DO PARCELAMENTO OU DA UNIFICAÇÃO DO OBJETO DA CONTRATAÇÃO:</w:t>
      </w:r>
      <w:r w:rsidRPr="00C40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opção pelo parcelamento do objeto se deve ao seguinte motivo:</w:t>
      </w: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 w:firstLine="709"/>
        <w:jc w:val="both"/>
        <w:textAlignment w:val="baseline"/>
        <w:rPr>
          <w:rFonts w:ascii="Arial" w:hAnsi="Arial" w:cs="Arial"/>
        </w:rPr>
      </w:pPr>
      <w:r w:rsidRPr="00701CF8">
        <w:rPr>
          <w:rFonts w:ascii="Arial" w:hAnsi="Arial" w:cs="Arial"/>
        </w:rPr>
        <w:t>Os objetos a serem comprados levaram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>se em conta as suas naturezas semelhantes no segmento de mercado e que poderão ser fornecidos por diversos estabelecimentos do ramo pertinente, permitindo, assim, maior competitividade, diversidade de fabricantes e produtos, melhor preço e redução no valor dos lotes ofertados.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:rsidR="009D1D04" w:rsidRPr="002F7E97" w:rsidRDefault="009D1D04" w:rsidP="009D1D0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C40524">
        <w:rPr>
          <w:rFonts w:ascii="Arial" w:hAnsi="Arial" w:cs="Arial"/>
          <w:b/>
        </w:rPr>
        <w:t>9.</w:t>
      </w:r>
      <w:r w:rsidRPr="00C40524">
        <w:rPr>
          <w:rFonts w:ascii="Arial" w:hAnsi="Arial" w:cs="Arial"/>
        </w:rPr>
        <w:t xml:space="preserve"> </w:t>
      </w:r>
      <w:r w:rsidRPr="00C40524">
        <w:rPr>
          <w:rFonts w:ascii="Arial" w:eastAsia="Calibri" w:hAnsi="Arial" w:cs="Arial"/>
          <w:b/>
          <w:bCs/>
          <w:color w:val="000000"/>
          <w:lang w:eastAsia="en-US"/>
        </w:rPr>
        <w:t>CONTRATAÇÕES CORRELATAS E/OU INTERDEPENDENTES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: </w:t>
      </w:r>
      <w:r w:rsidRPr="002F7E97">
        <w:rPr>
          <w:rFonts w:ascii="Arial" w:hAnsi="Arial" w:cs="Arial"/>
        </w:rPr>
        <w:t>Não há necessidade de contratações correlatas e/ou interdependentes relacionadas ao objeto</w:t>
      </w:r>
      <w:r w:rsidRPr="002F7E97">
        <w:rPr>
          <w:rFonts w:ascii="Arial" w:hAnsi="Arial" w:cs="Arial"/>
        </w:rPr>
        <w:br/>
        <w:t>desde Estudo Técnico Preliminar.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textAlignment w:val="baseline"/>
        <w:rPr>
          <w:rFonts w:ascii="Arial" w:hAnsi="Arial" w:cs="Arial"/>
        </w:rPr>
      </w:pP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C40524">
        <w:rPr>
          <w:rFonts w:ascii="Arial" w:hAnsi="Arial" w:cs="Arial"/>
          <w:b/>
        </w:rPr>
        <w:t>10. DO ORÇAMENTO, ESTUDOS DOS QUANTITATIVOS A SEREM ADQUIRIDOS E MEMÓRIA DE CÁLCULO:</w:t>
      </w:r>
      <w:r w:rsidRPr="00C40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quantidades a serem contratadas estão definidas em itens a serem adquiridos, conforme a necessidade dentro do prazo de validade do correspondente Termo de Referência. A planilha de pesquisa de preços destaca a estimativa do valor </w:t>
      </w:r>
      <w:r w:rsidRPr="001D6093">
        <w:rPr>
          <w:rFonts w:ascii="Arial" w:hAnsi="Arial" w:cs="Arial"/>
        </w:rPr>
        <w:t>médio</w:t>
      </w:r>
      <w:r>
        <w:rPr>
          <w:rFonts w:ascii="Arial" w:hAnsi="Arial" w:cs="Arial"/>
        </w:rPr>
        <w:t xml:space="preserve"> no valor </w:t>
      </w:r>
      <w:r w:rsidRPr="00C40524">
        <w:rPr>
          <w:rFonts w:ascii="Arial" w:hAnsi="Arial" w:cs="Arial"/>
        </w:rPr>
        <w:t xml:space="preserve">de </w:t>
      </w:r>
      <w:r w:rsidRPr="00D44C1B">
        <w:rPr>
          <w:rFonts w:ascii="Arial" w:hAnsi="Arial" w:cs="Arial"/>
          <w:bCs/>
        </w:rPr>
        <w:t xml:space="preserve">R$ </w:t>
      </w:r>
      <w:r w:rsidRPr="00857ACF">
        <w:rPr>
          <w:rFonts w:ascii="Arial" w:hAnsi="Arial" w:cs="Arial"/>
          <w:bCs/>
        </w:rPr>
        <w:t>1.419.121,59 (Um milhão, quatrocentos e dezenove mil, cento e vinte e um reais e cinquenta e nove cent</w:t>
      </w:r>
      <w:r>
        <w:rPr>
          <w:rFonts w:ascii="Arial" w:hAnsi="Arial" w:cs="Arial"/>
          <w:bCs/>
        </w:rPr>
        <w:t xml:space="preserve">avos), </w:t>
      </w:r>
      <w:r>
        <w:rPr>
          <w:rFonts w:ascii="Arial" w:hAnsi="Arial" w:cs="Arial"/>
        </w:rPr>
        <w:t>acompanhada pelas cotações de preços das empresas que apresentaram seus valores que são referenciais de mercado, entabulada numa planilha de cálculo de estimativa de preços de acordo com o praticado no mercado.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  <w:b/>
        </w:rPr>
      </w:pPr>
      <w:r w:rsidRPr="00C40524">
        <w:rPr>
          <w:rFonts w:ascii="Arial" w:hAnsi="Arial" w:cs="Arial"/>
          <w:b/>
        </w:rPr>
        <w:t xml:space="preserve">11. </w:t>
      </w:r>
      <w:r>
        <w:rPr>
          <w:rFonts w:ascii="Arial" w:hAnsi="Arial" w:cs="Arial"/>
          <w:b/>
        </w:rPr>
        <w:t xml:space="preserve">EVENTUAL INTERRUPÇÃO </w:t>
      </w:r>
      <w:r w:rsidRPr="00C40524">
        <w:rPr>
          <w:rFonts w:ascii="Arial" w:hAnsi="Arial" w:cs="Arial"/>
          <w:b/>
        </w:rPr>
        <w:t>CONTRAT</w:t>
      </w:r>
      <w:r>
        <w:rPr>
          <w:rFonts w:ascii="Arial" w:hAnsi="Arial" w:cs="Arial"/>
          <w:b/>
        </w:rPr>
        <w:t>UAL</w:t>
      </w:r>
      <w:r w:rsidRPr="00C40524">
        <w:rPr>
          <w:rFonts w:ascii="Arial" w:hAnsi="Arial" w:cs="Arial"/>
          <w:b/>
        </w:rPr>
        <w:t xml:space="preserve">: </w:t>
      </w:r>
    </w:p>
    <w:p w:rsidR="009D1D04" w:rsidRPr="006777C2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6777C2">
        <w:rPr>
          <w:rFonts w:ascii="Arial" w:hAnsi="Arial" w:cs="Arial"/>
        </w:rPr>
        <w:t>Eventual interrupção contratual ensejará no descumprimento das condições definidas para a sua realização, e deverá ser alvo das ações e penalidades previstas nos contratos.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C40524">
        <w:rPr>
          <w:rFonts w:ascii="Arial" w:hAnsi="Arial" w:cs="Arial"/>
          <w:b/>
        </w:rPr>
        <w:t>12. DA ESTIMATIVA DE IMPACTO ORÇAMENTÁRIO:</w:t>
      </w:r>
      <w:r w:rsidRPr="00C40524">
        <w:rPr>
          <w:rFonts w:ascii="Arial" w:hAnsi="Arial" w:cs="Arial"/>
        </w:rPr>
        <w:t xml:space="preserve"> Dependerá das contratações decorrentes da Ata de Registro de Preços - ARP. 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C40524">
        <w:rPr>
          <w:rFonts w:ascii="Arial" w:hAnsi="Arial" w:cs="Arial"/>
          <w:b/>
        </w:rPr>
        <w:t>13. DA DECLARAÇÃO DE VIABILIDADE OU NÃO DA CONTRATAÇÃO:</w:t>
      </w:r>
      <w:r w:rsidRPr="00C40524">
        <w:rPr>
          <w:rFonts w:ascii="Arial" w:hAnsi="Arial" w:cs="Arial"/>
        </w:rPr>
        <w:t xml:space="preserve"> Diante do exposto, declaramos a viabilidade da contratação, nos termos dispostos nestes Estudos Técnicos Preliminares (ETP).</w:t>
      </w: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C405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C405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PROVIDÊNCIAS A SEREM ADOTADAS:</w:t>
      </w:r>
      <w:r>
        <w:t xml:space="preserve"> </w:t>
      </w:r>
      <w:r>
        <w:rPr>
          <w:rFonts w:ascii="Arial" w:hAnsi="Arial" w:cs="Arial"/>
        </w:rPr>
        <w:t>A demanda será acompanhada pela equipe técnica responsável capacitada para tomar as providências necessárias e possíveis para o sucesso da contratação, incluindo o aceite da proposta, recebimento do item e eventuais diligências no intuito de garantir a qualidade da compra.</w:t>
      </w:r>
    </w:p>
    <w:p w:rsidR="009D1D0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Calibri" w:hAnsi="Arial" w:cs="Arial"/>
          <w:color w:val="000000"/>
          <w:lang w:eastAsia="en-US"/>
        </w:rPr>
      </w:pPr>
      <w:r w:rsidRPr="00C405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C40524">
        <w:rPr>
          <w:rFonts w:ascii="Arial" w:hAnsi="Arial" w:cs="Arial"/>
          <w:b/>
        </w:rPr>
        <w:t>. DA ANÁLISE DE RISCOS:</w:t>
      </w:r>
      <w:r>
        <w:rPr>
          <w:rFonts w:ascii="Arial" w:hAnsi="Arial" w:cs="Arial"/>
          <w:b/>
        </w:rPr>
        <w:t xml:space="preserve"> </w:t>
      </w:r>
      <w:r w:rsidRPr="00C40524">
        <w:rPr>
          <w:rFonts w:ascii="Arial" w:eastAsia="Calibri" w:hAnsi="Arial" w:cs="Arial"/>
          <w:color w:val="000000"/>
          <w:lang w:eastAsia="en-US"/>
        </w:rPr>
        <w:t>Assim como toda contratação, vislumbram-se alguns riscos em curso na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C40524">
        <w:rPr>
          <w:rFonts w:ascii="Arial" w:eastAsia="Calibri" w:hAnsi="Arial" w:cs="Arial"/>
          <w:color w:val="000000"/>
          <w:lang w:eastAsia="en-US"/>
        </w:rPr>
        <w:t>presente contratação. Não incluem-se, neste mapa de riscos, aqueles voltados à gestão do contrato e execução dos serviços, mas apenas os que tangiam o processo que permeia até a formalização da contratação.</w:t>
      </w:r>
    </w:p>
    <w:p w:rsidR="009D1D04" w:rsidRPr="00C40524" w:rsidRDefault="009D1D04" w:rsidP="009D1D04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4788"/>
      </w:tblGrid>
      <w:tr w:rsidR="009D1D04" w:rsidRPr="00CC11AA" w:rsidTr="007F33E1">
        <w:trPr>
          <w:trHeight w:val="429"/>
        </w:trPr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Risco 01: </w:t>
            </w: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Selecionar equipe inadequada para o planejamento da contratação.</w:t>
            </w:r>
          </w:p>
        </w:tc>
      </w:tr>
      <w:tr w:rsidR="009D1D04" w:rsidRPr="00CC11AA" w:rsidTr="007F33E1"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Probabilidade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(X) Baixa </w:t>
            </w: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Média ( 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Impacto: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Baixa (X) Média ( 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Dano</w:t>
            </w: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Realizar estudo falho, incompleto ou impreciso, podendo ocasionar prejuízos na contratação.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Preventiva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Escolher equipe com conhecimentos suficientes para os estudos em tempo hábil para que não haja prejuízos durante a fase de planejamento.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Secretaria Municipal de Educação e Cultura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de Contingência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- Substituir membros da equipe de planejamento que não estejam tendo rendimento.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- Designar membros com mais experiência em contratações.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Secretaria Municipal de Educação e Cultura</w:t>
            </w:r>
          </w:p>
        </w:tc>
      </w:tr>
    </w:tbl>
    <w:p w:rsidR="009D1D04" w:rsidRPr="00C40524" w:rsidRDefault="009D1D04" w:rsidP="009D1D04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4788"/>
      </w:tblGrid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lastRenderedPageBreak/>
              <w:t xml:space="preserve">Risco 02 </w:t>
            </w: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– Estimativa de preço inadequada</w:t>
            </w:r>
          </w:p>
        </w:tc>
      </w:tr>
      <w:tr w:rsidR="009D1D04" w:rsidRPr="00CC11AA" w:rsidTr="007F33E1"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Probabilidade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Baixa (X) Média ( 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Impacto: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Baixa ( ) Média (X)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Dano</w:t>
            </w: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Realizar a licitação sem que haja interessados em participar devido às dificuldades de exequibilidade a proposta devido à estimativa de preço ser inferior ao preço praticado no mercado, causando licitação deserta. Contratar o serviço com preço superior ao praticado no mercado causando gastos desnecessários aos cofre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s</w:t>
            </w: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públicos.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Preventiva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rPr>
          <w:trHeight w:val="454"/>
        </w:trPr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C11AA">
              <w:rPr>
                <w:rFonts w:ascii="Arial" w:eastAsia="Calibri" w:hAnsi="Arial" w:cs="Arial"/>
                <w:lang w:eastAsia="en-US"/>
              </w:rPr>
              <w:t>Utilizar a pesquisa de preços no mercado para cotação do item a ser contratado.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Secretaria Municipal de Educação e Cultura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de Contingência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Revisar os preços encontrados, verificar se trata de objeto similar. Solicitar nova cotação caso não seja aceita.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Secretária Municipal de Educação e Cultura</w:t>
            </w:r>
          </w:p>
        </w:tc>
      </w:tr>
    </w:tbl>
    <w:p w:rsidR="009D1D04" w:rsidRPr="00C40524" w:rsidRDefault="009D1D04" w:rsidP="009D1D04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4788"/>
      </w:tblGrid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Risco 03 </w:t>
            </w: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– </w:t>
            </w:r>
            <w:r w:rsidRPr="00CC11AA">
              <w:rPr>
                <w:rFonts w:ascii="Arial" w:eastAsia="Calibri" w:hAnsi="Arial" w:cs="Arial"/>
                <w:bCs/>
                <w:color w:val="000000"/>
                <w:lang w:eastAsia="en-US"/>
              </w:rPr>
              <w:t>Atraso na conclusão da licitação</w:t>
            </w:r>
          </w:p>
        </w:tc>
      </w:tr>
      <w:tr w:rsidR="009D1D04" w:rsidRPr="00CC11AA" w:rsidTr="007F33E1"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Probabilidade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Baixa ( ) Média (X)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Impacto: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Baixa ( ) Média (X)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Dano</w:t>
            </w: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Não atendimento à demanda no prazo necessário, prejudicando os serviços da atividade fim e meio, principalmente ao cumprimento de prazos de atos institucionais que implicam no andamento dos processos judiciais.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Preventiva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rPr>
          <w:trHeight w:val="902"/>
        </w:trPr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Na abertura do processo licitatório, prevendo-se necessidade de frequentes respostas a recursos, impugnações e pedidos de esclarecimentos, solicitar antecipadamente a disponibilidade dos setores demandantes para pronta-resposta.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C11AA">
              <w:rPr>
                <w:rFonts w:ascii="Arial" w:eastAsia="Calibri" w:hAnsi="Arial" w:cs="Arial"/>
                <w:lang w:eastAsia="en-US"/>
              </w:rPr>
              <w:t xml:space="preserve">Comissão Permanente de Licitação e 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Secretaria Municipal de Educação e Cultura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de Contingência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rPr>
          <w:trHeight w:val="642"/>
        </w:trPr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lang w:eastAsia="en-US"/>
              </w:rPr>
              <w:t>Formação de equipe multidisciplinar de pronto-emprego para agilidade nas respostas.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C11AA">
              <w:rPr>
                <w:rFonts w:ascii="Arial" w:eastAsia="Calibri" w:hAnsi="Arial" w:cs="Arial"/>
                <w:lang w:eastAsia="en-US"/>
              </w:rPr>
              <w:t xml:space="preserve">Comissão Permanente de Licitação e 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Secretaria Municipal de Educação e Cultura</w:t>
            </w:r>
          </w:p>
        </w:tc>
      </w:tr>
    </w:tbl>
    <w:p w:rsidR="009D1D04" w:rsidRPr="00C40524" w:rsidRDefault="009D1D04" w:rsidP="009D1D04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9D1D04" w:rsidRPr="00C40524" w:rsidRDefault="009D1D04" w:rsidP="009D1D04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4788"/>
      </w:tblGrid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lastRenderedPageBreak/>
              <w:t xml:space="preserve">Risco 04 </w:t>
            </w: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– Falta de recursos financeiros da Unidade Gestora para cumprimento das obrigações contratuais.</w:t>
            </w:r>
          </w:p>
        </w:tc>
      </w:tr>
      <w:tr w:rsidR="009D1D04" w:rsidRPr="00CC11AA" w:rsidTr="007F33E1">
        <w:trPr>
          <w:trHeight w:val="255"/>
        </w:trPr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Probabilidade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(X) Baixa </w:t>
            </w: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Média ( 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rPr>
          <w:trHeight w:val="249"/>
        </w:trPr>
        <w:tc>
          <w:tcPr>
            <w:tcW w:w="2831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Impacto:</w:t>
            </w:r>
          </w:p>
        </w:tc>
        <w:tc>
          <w:tcPr>
            <w:tcW w:w="6204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( )</w:t>
            </w:r>
            <w:proofErr w:type="gramEnd"/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 Baixa ( ) Média (X) Alta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Dano</w:t>
            </w:r>
          </w:p>
        </w:tc>
      </w:tr>
      <w:tr w:rsidR="009D1D04" w:rsidRPr="00CC11AA" w:rsidTr="007F33E1">
        <w:tc>
          <w:tcPr>
            <w:tcW w:w="9035" w:type="dxa"/>
            <w:gridSpan w:val="3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A empresa não receber pelos serviços prestados, prejudicando a execução do contrato.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Preventiva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Aprovisionar recursos suficientes para as obrigações contratuais durante o ano de vigência.</w:t>
            </w: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Tesoureiro e Contador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Ação de Contingência</w:t>
            </w:r>
          </w:p>
        </w:tc>
        <w:tc>
          <w:tcPr>
            <w:tcW w:w="4788" w:type="dxa"/>
            <w:shd w:val="clear" w:color="auto" w:fill="D9D9D9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Responsável</w:t>
            </w:r>
          </w:p>
        </w:tc>
      </w:tr>
      <w:tr w:rsidR="009D1D04" w:rsidRPr="00CC11AA" w:rsidTr="007F33E1">
        <w:tc>
          <w:tcPr>
            <w:tcW w:w="4247" w:type="dxa"/>
            <w:gridSpan w:val="2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>Providenciar complementação de recursos para cumprimento das obrigações contratuais.</w:t>
            </w: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788" w:type="dxa"/>
            <w:shd w:val="clear" w:color="auto" w:fill="auto"/>
          </w:tcPr>
          <w:p w:rsidR="009D1D04" w:rsidRPr="00CC11AA" w:rsidRDefault="009D1D04" w:rsidP="007F33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9D1D04" w:rsidRPr="00CC11AA" w:rsidRDefault="009D1D04" w:rsidP="007F33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11AA">
              <w:rPr>
                <w:rFonts w:ascii="Arial" w:eastAsia="Calibri" w:hAnsi="Arial" w:cs="Arial"/>
                <w:color w:val="000000"/>
                <w:lang w:eastAsia="en-US"/>
              </w:rPr>
              <w:t xml:space="preserve">Tesoureiro e Contador </w:t>
            </w:r>
          </w:p>
        </w:tc>
      </w:tr>
    </w:tbl>
    <w:p w:rsidR="009D1D04" w:rsidRPr="00C40524" w:rsidRDefault="009D1D04" w:rsidP="009D1D04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Minduri, 13 de junho</w:t>
      </w:r>
      <w:r w:rsidRPr="00C40524">
        <w:rPr>
          <w:rFonts w:ascii="Arial" w:hAnsi="Arial" w:cs="Arial"/>
        </w:rPr>
        <w:t xml:space="preserve"> de 2023.</w:t>
      </w: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b/>
        </w:rPr>
      </w:pPr>
    </w:p>
    <w:p w:rsidR="009D1D04" w:rsidRPr="00EB46B4" w:rsidRDefault="009D1D04" w:rsidP="009D1D04">
      <w:pPr>
        <w:spacing w:after="240" w:line="360" w:lineRule="auto"/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b/>
        </w:rPr>
      </w:pPr>
    </w:p>
    <w:p w:rsidR="009D1D04" w:rsidRPr="00C40524" w:rsidRDefault="009D1D04" w:rsidP="009D1D04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  <w:b/>
        </w:rPr>
      </w:pPr>
      <w:r w:rsidRPr="00C40524">
        <w:rPr>
          <w:rFonts w:ascii="Arial" w:hAnsi="Arial" w:cs="Arial"/>
          <w:b/>
        </w:rPr>
        <w:t>Denise Daniel Quirino</w:t>
      </w:r>
    </w:p>
    <w:p w:rsidR="009D1D04" w:rsidRPr="00C512EB" w:rsidRDefault="009D1D04" w:rsidP="009D1D04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</w:rPr>
      </w:pPr>
      <w:r w:rsidRPr="00C40524">
        <w:rPr>
          <w:rFonts w:ascii="Arial" w:hAnsi="Arial" w:cs="Arial"/>
        </w:rPr>
        <w:t>Secretária Municipal de Educação e</w:t>
      </w:r>
      <w:r>
        <w:rPr>
          <w:rFonts w:ascii="Arial" w:hAnsi="Arial" w:cs="Arial"/>
        </w:rPr>
        <w:t xml:space="preserve"> Cultura</w:t>
      </w:r>
    </w:p>
    <w:p w:rsidR="009D1D04" w:rsidRDefault="009D1D04" w:rsidP="00192829">
      <w:pPr>
        <w:ind w:left="567"/>
        <w:jc w:val="both"/>
        <w:rPr>
          <w:rFonts w:ascii="Arial" w:hAnsi="Arial" w:cs="Arial"/>
        </w:rPr>
        <w:sectPr w:rsidR="009D1D04" w:rsidSect="00336284">
          <w:headerReference w:type="default" r:id="rId6"/>
          <w:footerReference w:type="default" r:id="rId7"/>
          <w:pgSz w:w="11906" w:h="16838" w:code="9"/>
          <w:pgMar w:top="2495" w:right="851" w:bottom="1304" w:left="851" w:header="181" w:footer="284" w:gutter="0"/>
          <w:cols w:space="708"/>
          <w:docGrid w:linePitch="360"/>
        </w:sectPr>
      </w:pPr>
    </w:p>
    <w:p w:rsidR="001D6093" w:rsidRDefault="001D6093" w:rsidP="001D6093">
      <w:pPr>
        <w:jc w:val="both"/>
        <w:rPr>
          <w:rFonts w:ascii="Arial" w:hAnsi="Arial" w:cs="Arial"/>
        </w:rPr>
        <w:sectPr w:rsidR="001D6093" w:rsidSect="009D1D04">
          <w:pgSz w:w="11906" w:h="16838" w:code="9"/>
          <w:pgMar w:top="1304" w:right="851" w:bottom="2495" w:left="851" w:header="181" w:footer="284" w:gutter="0"/>
          <w:cols w:space="708"/>
          <w:docGrid w:linePitch="360"/>
        </w:sectPr>
      </w:pPr>
    </w:p>
    <w:p w:rsidR="000A3626" w:rsidRDefault="000A3626"/>
    <w:sectPr w:rsidR="000A3626" w:rsidSect="001D6093">
      <w:pgSz w:w="11906" w:h="16838" w:code="9"/>
      <w:pgMar w:top="2495" w:right="851" w:bottom="1304" w:left="851" w:header="18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40A" w:rsidRDefault="001D6093">
      <w:r>
        <w:separator/>
      </w:r>
    </w:p>
  </w:endnote>
  <w:endnote w:type="continuationSeparator" w:id="0">
    <w:p w:rsidR="0054540A" w:rsidRDefault="001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F9" w:rsidRDefault="00192829" w:rsidP="009023D2">
    <w:pPr>
      <w:pStyle w:val="Rodap"/>
      <w:ind w:left="1701"/>
      <w:rPr>
        <w:rFonts w:ascii="Arial" w:hAnsi="Arial" w:cs="Arial"/>
        <w:color w:val="009999"/>
        <w:sz w:val="20"/>
        <w:szCs w:val="20"/>
      </w:rPr>
    </w:pPr>
    <w:r w:rsidRPr="00276F24">
      <w:rPr>
        <w:rFonts w:ascii="Arial" w:hAnsi="Arial" w:cs="Arial"/>
        <w:b/>
        <w:noProof/>
        <w:color w:val="00008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6060440</wp:posOffset>
              </wp:positionH>
              <wp:positionV relativeFrom="page">
                <wp:posOffset>9864090</wp:posOffset>
              </wp:positionV>
              <wp:extent cx="1643380" cy="560070"/>
              <wp:effectExtent l="2540" t="0" r="190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338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4F9" w:rsidRDefault="009D1D04">
                          <w:pPr>
                            <w:pStyle w:val="Rodap"/>
                            <w:rPr>
                              <w:rFonts w:ascii="Tw Cen MT" w:hAnsi="Tw Cen MT"/>
                              <w:b/>
                            </w:rPr>
                          </w:pPr>
                        </w:p>
                        <w:p w:rsidR="00F704F9" w:rsidRPr="00276F24" w:rsidRDefault="009D1D04">
                          <w:pPr>
                            <w:pStyle w:val="Rodap"/>
                            <w:rPr>
                              <w:rFonts w:ascii="Tw Cen MT" w:hAnsi="Tw Cen MT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477.2pt;margin-top:776.7pt;width:129.4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" o:allowincell="f" filled="f" stroked="f">
              <v:textbox style="mso-fit-shape-to-text:t">
                <w:txbxContent>
                  <w:p w:rsidR="00F704F9" w:rsidRDefault="009D1D04">
                    <w:pPr>
                      <w:pStyle w:val="Rodap"/>
                      <w:rPr>
                        <w:rFonts w:ascii="Tw Cen MT" w:hAnsi="Tw Cen MT"/>
                        <w:b/>
                      </w:rPr>
                    </w:pPr>
                  </w:p>
                  <w:p w:rsidR="00F704F9" w:rsidRPr="00276F24" w:rsidRDefault="009D1D04">
                    <w:pPr>
                      <w:pStyle w:val="Rodap"/>
                      <w:rPr>
                        <w:rFonts w:ascii="Tw Cen MT" w:hAnsi="Tw Cen MT"/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-90805</wp:posOffset>
          </wp:positionH>
          <wp:positionV relativeFrom="paragraph">
            <wp:posOffset>-116840</wp:posOffset>
          </wp:positionV>
          <wp:extent cx="1298575" cy="773430"/>
          <wp:effectExtent l="0" t="0" r="0" b="7620"/>
          <wp:wrapNone/>
          <wp:docPr id="7" name="Imagem 7" descr="Prefeitura Minduri - Logos - Final (Fundo Br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feitura Minduri - Logos - Final (Fundo Branc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49" t="30330" r="27362" b="30313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9999"/>
        <w:sz w:val="20"/>
        <w:szCs w:val="20"/>
      </w:rPr>
      <w:t xml:space="preserve">     </w:t>
    </w:r>
    <w:r w:rsidRPr="00A86B34">
      <w:rPr>
        <w:rFonts w:ascii="Arial" w:hAnsi="Arial" w:cs="Arial"/>
        <w:color w:val="009999"/>
        <w:sz w:val="20"/>
        <w:szCs w:val="20"/>
      </w:rPr>
      <w:t>Rua Durval Souza Furtado, s/nº</w:t>
    </w:r>
    <w:r>
      <w:rPr>
        <w:rFonts w:ascii="Arial" w:hAnsi="Arial" w:cs="Arial"/>
        <w:color w:val="009999"/>
        <w:sz w:val="20"/>
        <w:szCs w:val="20"/>
      </w:rPr>
      <w:t xml:space="preserve"> – Centro</w:t>
    </w:r>
    <w:r w:rsidRPr="00A86B34">
      <w:rPr>
        <w:rFonts w:ascii="Arial" w:hAnsi="Arial" w:cs="Arial"/>
        <w:color w:val="009999"/>
        <w:sz w:val="20"/>
        <w:szCs w:val="20"/>
      </w:rPr>
      <w:t xml:space="preserve"> </w:t>
    </w:r>
  </w:p>
  <w:p w:rsidR="00F704F9" w:rsidRDefault="00192829" w:rsidP="009023D2">
    <w:pPr>
      <w:pStyle w:val="Rodap"/>
      <w:ind w:left="1701"/>
      <w:rPr>
        <w:rFonts w:ascii="Arial" w:hAnsi="Arial" w:cs="Arial"/>
        <w:color w:val="009999"/>
        <w:sz w:val="20"/>
        <w:szCs w:val="20"/>
      </w:rPr>
    </w:pPr>
    <w:r>
      <w:rPr>
        <w:rFonts w:ascii="Arial" w:hAnsi="Arial" w:cs="Arial"/>
        <w:color w:val="009999"/>
        <w:sz w:val="20"/>
        <w:szCs w:val="20"/>
      </w:rPr>
      <w:t xml:space="preserve">     CEP: 37.447-000</w:t>
    </w:r>
  </w:p>
  <w:p w:rsidR="00F704F9" w:rsidRPr="00A86B34" w:rsidRDefault="00192829" w:rsidP="009023D2">
    <w:pPr>
      <w:pStyle w:val="Rodap"/>
      <w:ind w:left="1701"/>
      <w:rPr>
        <w:rFonts w:ascii="Arial" w:hAnsi="Arial" w:cs="Arial"/>
        <w:color w:val="009999"/>
        <w:sz w:val="20"/>
        <w:szCs w:val="20"/>
      </w:rPr>
    </w:pPr>
    <w:r>
      <w:rPr>
        <w:rFonts w:ascii="Arial" w:hAnsi="Arial" w:cs="Arial"/>
        <w:color w:val="009999"/>
        <w:sz w:val="20"/>
        <w:szCs w:val="20"/>
      </w:rPr>
      <w:t xml:space="preserve">     </w:t>
    </w:r>
    <w:r w:rsidRPr="00A86B34">
      <w:rPr>
        <w:rFonts w:ascii="Arial" w:hAnsi="Arial" w:cs="Arial"/>
        <w:color w:val="009999"/>
        <w:sz w:val="20"/>
        <w:szCs w:val="20"/>
      </w:rPr>
      <w:t xml:space="preserve">Minduri </w:t>
    </w:r>
    <w:r>
      <w:rPr>
        <w:rFonts w:ascii="Arial" w:hAnsi="Arial" w:cs="Arial"/>
        <w:color w:val="009999"/>
        <w:sz w:val="20"/>
        <w:szCs w:val="20"/>
      </w:rPr>
      <w:t>–</w:t>
    </w:r>
    <w:r w:rsidRPr="00A86B34">
      <w:rPr>
        <w:rFonts w:ascii="Arial" w:hAnsi="Arial" w:cs="Arial"/>
        <w:color w:val="009999"/>
        <w:sz w:val="20"/>
        <w:szCs w:val="20"/>
      </w:rPr>
      <w:t xml:space="preserve"> Estado de Minas Gerais </w:t>
    </w:r>
  </w:p>
  <w:p w:rsidR="00F704F9" w:rsidRPr="007F1223" w:rsidRDefault="00192829" w:rsidP="009023D2">
    <w:pPr>
      <w:pStyle w:val="Rodap"/>
      <w:ind w:left="1701"/>
      <w:rPr>
        <w:rFonts w:ascii="Arial" w:hAnsi="Arial" w:cs="Arial"/>
        <w:color w:val="009999"/>
        <w:sz w:val="20"/>
        <w:szCs w:val="20"/>
      </w:rPr>
    </w:pPr>
    <w:r>
      <w:rPr>
        <w:rFonts w:ascii="Arial" w:hAnsi="Arial" w:cs="Arial"/>
        <w:color w:val="009999"/>
        <w:sz w:val="20"/>
        <w:szCs w:val="20"/>
      </w:rPr>
      <w:t xml:space="preserve">     </w:t>
    </w:r>
    <w:r w:rsidRPr="00A86B34">
      <w:rPr>
        <w:rFonts w:ascii="Arial" w:hAnsi="Arial" w:cs="Arial"/>
        <w:color w:val="009999"/>
        <w:sz w:val="20"/>
        <w:szCs w:val="20"/>
      </w:rPr>
      <w:t>Telefone: (35) 3326-1244 ou 9 9992-7680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40A" w:rsidRDefault="001D6093">
      <w:r>
        <w:separator/>
      </w:r>
    </w:p>
  </w:footnote>
  <w:footnote w:type="continuationSeparator" w:id="0">
    <w:p w:rsidR="0054540A" w:rsidRDefault="001D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F9" w:rsidRDefault="00192829" w:rsidP="0021615A">
    <w:pPr>
      <w:pStyle w:val="Cabealho"/>
      <w:jc w:val="center"/>
      <w:rPr>
        <w:rFonts w:ascii="Arial" w:hAnsi="Arial" w:cs="Arial"/>
        <w:b/>
        <w:color w:val="000080"/>
        <w:sz w:val="20"/>
        <w:szCs w:val="20"/>
      </w:rPr>
    </w:pPr>
    <w:r>
      <w:rPr>
        <w:rFonts w:ascii="Arial" w:hAnsi="Arial" w:cs="Arial"/>
        <w:b/>
        <w:noProof/>
        <w:color w:val="000080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5096510</wp:posOffset>
          </wp:positionH>
          <wp:positionV relativeFrom="paragraph">
            <wp:posOffset>40640</wp:posOffset>
          </wp:positionV>
          <wp:extent cx="1348740" cy="1370965"/>
          <wp:effectExtent l="0" t="0" r="3810" b="635"/>
          <wp:wrapNone/>
          <wp:docPr id="6" name="Imagem 6" descr="Logo SMEC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EC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04F9" w:rsidRPr="009023D2" w:rsidRDefault="00192829" w:rsidP="009023D2">
    <w:pPr>
      <w:pStyle w:val="Cabealho"/>
      <w:rPr>
        <w:rFonts w:ascii="Tw Cen MT" w:hAnsi="Tw Cen MT" w:cs="Arial"/>
        <w:b/>
        <w:color w:val="009999"/>
        <w:sz w:val="36"/>
        <w:szCs w:val="36"/>
      </w:rPr>
    </w:pPr>
    <w:r w:rsidRPr="009023D2">
      <w:rPr>
        <w:rFonts w:ascii="Tw Cen MT" w:hAnsi="Tw Cen MT" w:cs="Arial"/>
        <w:b/>
        <w:color w:val="009999"/>
        <w:sz w:val="36"/>
        <w:szCs w:val="36"/>
      </w:rPr>
      <w:t>Município de Minduri</w:t>
    </w:r>
  </w:p>
  <w:p w:rsidR="00F704F9" w:rsidRPr="009023D2" w:rsidRDefault="00192829" w:rsidP="00F86D9C">
    <w:pPr>
      <w:pStyle w:val="Cabealho"/>
      <w:rPr>
        <w:rFonts w:ascii="Tw Cen MT" w:hAnsi="Tw Cen MT" w:cs="Arial"/>
        <w:b/>
        <w:color w:val="009999"/>
        <w:sz w:val="40"/>
        <w:szCs w:val="32"/>
      </w:rPr>
    </w:pPr>
    <w:r w:rsidRPr="009023D2">
      <w:rPr>
        <w:rFonts w:ascii="Tw Cen MT" w:hAnsi="Tw Cen MT" w:cs="Arial"/>
        <w:b/>
        <w:color w:val="009999"/>
        <w:sz w:val="40"/>
        <w:szCs w:val="32"/>
      </w:rPr>
      <w:t>Secretaria Municipal de Educação e Cultura</w:t>
    </w:r>
  </w:p>
  <w:p w:rsidR="00F704F9" w:rsidRPr="009023D2" w:rsidRDefault="009D1D04" w:rsidP="00F86D9C">
    <w:pPr>
      <w:pStyle w:val="Cabealho"/>
      <w:rPr>
        <w:rFonts w:ascii="Tw Cen MT" w:hAnsi="Tw Cen MT" w:cs="Arial"/>
        <w:b/>
        <w:color w:val="009999"/>
        <w:szCs w:val="20"/>
      </w:rPr>
    </w:pPr>
    <w:hyperlink r:id="rId2" w:history="1">
      <w:r w:rsidR="00192829" w:rsidRPr="009023D2">
        <w:rPr>
          <w:rStyle w:val="Hyperlink"/>
          <w:rFonts w:ascii="Tw Cen MT" w:hAnsi="Tw Cen MT" w:cs="Arial"/>
          <w:b/>
          <w:color w:val="009999"/>
          <w:szCs w:val="20"/>
          <w:u w:val="none"/>
        </w:rPr>
        <w:t>www.minduri.mg.gov.br</w:t>
      </w:r>
    </w:hyperlink>
    <w:r w:rsidR="00192829" w:rsidRPr="009023D2">
      <w:rPr>
        <w:rFonts w:ascii="Tw Cen MT" w:hAnsi="Tw Cen MT" w:cs="Arial"/>
        <w:b/>
        <w:color w:val="009999"/>
        <w:szCs w:val="20"/>
      </w:rPr>
      <w:t xml:space="preserve"> – sme.minduri@gmail.com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9"/>
    <w:rsid w:val="000958E7"/>
    <w:rsid w:val="000A3626"/>
    <w:rsid w:val="00192829"/>
    <w:rsid w:val="001D6093"/>
    <w:rsid w:val="0054540A"/>
    <w:rsid w:val="009D1D04"/>
    <w:rsid w:val="00D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46B6D0E-67EF-4D1E-B596-68787632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282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928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9282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928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92829"/>
    <w:rPr>
      <w:color w:val="0000FF"/>
      <w:u w:val="single"/>
    </w:rPr>
  </w:style>
  <w:style w:type="character" w:customStyle="1" w:styleId="markedcontent">
    <w:name w:val="markedcontent"/>
    <w:basedOn w:val="Fontepargpadro"/>
    <w:rsid w:val="0019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duri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1793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Daniel</cp:lastModifiedBy>
  <cp:revision>5</cp:revision>
  <dcterms:created xsi:type="dcterms:W3CDTF">2023-05-03T14:37:00Z</dcterms:created>
  <dcterms:modified xsi:type="dcterms:W3CDTF">2023-06-13T14:12:00Z</dcterms:modified>
</cp:coreProperties>
</file>